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00" w:type="dxa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64"/>
      </w:tblGrid>
      <w:tr w:rsidR="0000000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4706"/>
            </w:tblGrid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hideMark/>
                </w:tcPr>
                <w:p w:rsidR="00000000" w:rsidRDefault="00621E06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8B"/>
                      <w:sz w:val="20"/>
                      <w:szCs w:val="20"/>
                    </w:rPr>
                    <w:t>CONSULTA COMPONENTES PROYECTO GCP/RLA/182/SPA</w:t>
                  </w:r>
                  <w:r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021"/>
                    <w:gridCol w:w="11581"/>
                  </w:tblGrid>
                  <w:tr w:rsidR="0000000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I. ANTECEDENTES DEL PROYECTO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30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Símbolo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GCP/RLA/182/SPA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Nombre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Reforzamiento de las Políticas de Semillas de Granos Básicos en apoyo a la Agricultura Campesina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 de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NACIONAL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Período de Ejecución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Marzo/2010 - Diciembre/2013</w:t>
                        </w:r>
                      </w:p>
                    </w:tc>
                  </w:tr>
                </w:tbl>
                <w:p w:rsidR="00000000" w:rsidRDefault="00621E06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  <w:br/>
                  </w:r>
                </w:p>
                <w:tbl>
                  <w:tblPr>
                    <w:tblW w:w="4900" w:type="pct"/>
                    <w:jc w:val="center"/>
                    <w:tblCellSpacing w:w="7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92"/>
                    <w:gridCol w:w="1296"/>
                    <w:gridCol w:w="1334"/>
                    <w:gridCol w:w="745"/>
                    <w:gridCol w:w="1223"/>
                    <w:gridCol w:w="701"/>
                    <w:gridCol w:w="514"/>
                    <w:gridCol w:w="277"/>
                    <w:gridCol w:w="277"/>
                    <w:gridCol w:w="277"/>
                    <w:gridCol w:w="277"/>
                    <w:gridCol w:w="277"/>
                    <w:gridCol w:w="277"/>
                    <w:gridCol w:w="277"/>
                    <w:gridCol w:w="282"/>
                    <w:gridCol w:w="467"/>
                    <w:gridCol w:w="467"/>
                    <w:gridCol w:w="467"/>
                    <w:gridCol w:w="467"/>
                    <w:gridCol w:w="467"/>
                    <w:gridCol w:w="467"/>
                    <w:gridCol w:w="467"/>
                    <w:gridCol w:w="570"/>
                    <w:gridCol w:w="1169"/>
                    <w:gridCol w:w="1168"/>
                  </w:tblGrid>
                  <w:tr w:rsidR="0000000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II. MARCO LÓGICO DEL COMPONENTE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COMPONENTE SUBREGIONAL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Efecto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Contribuir al fortalecimiento de sistemas nacionales sostenibles que aseguren disponibilidad y acceso sostenible a semilla de buena calidad de granos básicos para los pequeño/as productores/as para la SAN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países donde el proyecto ha quedado institucionalizado y esto se traduce en el aporte de recursos adicionales al mismo (provisión de semilla, extensionistas, etc.)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Resultado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Países miembros del CAC cuentan con políticas y mecanismos de gestión institucional para el abastecimiento de semillas certificadas de granos básicos a nivel nacional y regional, con especial atención en el sector de la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Agricultura Familiar Campesina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países con capacidades de producción y gestión de semilla certificada de granos básicos, fortalecidas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 definir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semestrales de MyE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Existe estabilidad política y presupuestaria en los países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Existe estabilidad en las políticas públicas pertinentes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% de avance en el fortalecimiento de las instituciones públicas que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forman parte del sistema nacional de semillas y son apoyadas por el proyecto respecto a lo planteado al inicio del mismo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1- Instrumento de evaluación del fortalecimiento de las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instituciones públicas del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funcionarios públicos capacitados en talleres de ámbito subregional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convenios establecidos a nivel subregional en el marco de la producción de semilla por pequeños productores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Productos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1.1.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Sistemas y mecanismos para la gestión del conocimiento e intercambio de información y experiencias regionales sobre sistemas de producción, acceso y uso de semillas de calidad en la agricultura familiar, precios, y mercados para semilla de buena calidad.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misiones de intercambio de corta duración (1 a 3 semanas)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para aprovechar experiencias sobre creación y manejo de empresas semilleristas, manejo de semillas y temas relacionados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 definir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trimestrales de MyE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Informes de evaluación de misiones de intercambio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Las entidades públicas y organizaciones de productores designan el personal para participar en las misiones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estudios, diagnósticos y documentos coordinados o publicados por el proyecto a nivel subregional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página web del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La información de los países está disponible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Base jurídica centroamerican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a para agilizar el intercambio y comercio de semillas de granos básicos, incluyendo semilla de categoría "buena calidad", que facilite el intercambio sub regional de semillas de granos básicos de buena calidad.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Propuesta elaborada para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el comercio intrarregional de semillas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Documento elaborado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Se disponen de todos los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estudios nacionales de mercado y legislación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países con legislación en semillas analizada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-Informes de los consultores nacionales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-Informe final de la consultoría subregional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-Buena comunicación entre los consultores legales , los equipos nacionales y las contrapartes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1.3.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Políticas para fomentar la producción y comercio de semillas de buena calidad de granos básicos en Centroamérica que promueven la oferta y demanda local para semillas de buena calidad entre la agricultura familiar.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Estudio de mercado de comercio intrarregional de semillas elaborado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-Documento del estudio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-Aplicación de la misma metodología en todos los países para elaborar el estudio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Propuesta elaborada para la transición del regalo de semillas al mercado, a través de mecanismos que fomenten la capitalización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-Documento de la propuesta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-Se dispone de información sobre regalos de semilla con fuentes verificables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1.4.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Proyecto y Componente Subregional gestionado, monitoreado y evaluado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ejecución presupuestaria trimestral respecto del presupuesto anual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 definir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Reportes FPMIS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Disponibilidad oportuna de los recursos para implementar las actividades programadas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Tramitación administrativa oportuna para ejecutar los gastos programados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Número de informes aprobados en la plataforma PSIMER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-Informes PSIMER de los componentes nacionales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-Los componentes envían sus informes a tiempo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-Los componentes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elaboran los informes con la calidad esperada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Numero de empresa que cuenta con un POA en semillas elaborado en forma participativa, que se evalúa periódicamente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-POAs de las empresas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-Reporte POAs de las empresas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621E06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-En todos los paíese se planifica en forma participativa desde la base de las empresas </w:t>
                        </w:r>
                      </w:p>
                    </w:tc>
                  </w:tr>
                </w:tbl>
                <w:p w:rsidR="00000000" w:rsidRDefault="00621E06">
                  <w:pPr>
                    <w:spacing w:after="240"/>
                    <w:jc w:val="center"/>
                    <w:rPr>
                      <w:rFonts w:eastAsia="Times New Roman"/>
                    </w:rPr>
                  </w:pPr>
                </w:p>
              </w:tc>
            </w:tr>
          </w:tbl>
          <w:p w:rsidR="00000000" w:rsidRDefault="00621E06">
            <w:pPr>
              <w:rPr>
                <w:rFonts w:eastAsia="Times New Roman"/>
              </w:rPr>
            </w:pPr>
          </w:p>
        </w:tc>
      </w:tr>
    </w:tbl>
    <w:p w:rsidR="00000000" w:rsidRDefault="00621E06">
      <w:pPr>
        <w:rPr>
          <w:rFonts w:eastAsia="Times New Roman"/>
        </w:rPr>
      </w:pPr>
    </w:p>
    <w:sectPr w:rsidR="00000000" w:rsidSect="00621E06"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grammar="clean"/>
  <w:defaultTabStop w:val="708"/>
  <w:hyphenationZone w:val="425"/>
  <w:drawingGridHorizontalSpacing w:val="120"/>
  <w:displayHorizontalDrawingGridEvery w:val="2"/>
  <w:noPunctuationKerning/>
  <w:characterSpacingControl w:val="doNotCompress"/>
  <w:compat/>
  <w:rsids>
    <w:rsidRoot w:val="00621E06"/>
    <w:rsid w:val="00621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4"/>
      <w:szCs w:val="14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dtitulovertical">
    <w:name w:val="tdtitulovertical"/>
    <w:basedOn w:val="Normal"/>
    <w:pPr>
      <w:shd w:val="clear" w:color="auto" w:fill="CCCCCC"/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5"/>
      <w:szCs w:val="15"/>
    </w:rPr>
  </w:style>
  <w:style w:type="paragraph" w:customStyle="1" w:styleId="tdcontenido">
    <w:name w:val="tdcontenido"/>
    <w:basedOn w:val="Normal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divcontroles">
    <w:name w:val="divcontroles"/>
    <w:basedOn w:val="Normal"/>
    <w:pPr>
      <w:shd w:val="clear" w:color="auto" w:fill="6699FF"/>
      <w:spacing w:before="100" w:beforeAutospacing="1" w:after="100" w:afterAutospacing="1"/>
    </w:pPr>
    <w:rPr>
      <w:rFonts w:ascii="Verdana" w:hAnsi="Verdana"/>
      <w:b/>
      <w:bCs/>
      <w:color w:val="000000"/>
      <w:sz w:val="15"/>
      <w:szCs w:val="15"/>
    </w:rPr>
  </w:style>
  <w:style w:type="paragraph" w:customStyle="1" w:styleId="divcentropagina">
    <w:name w:val="divcentropagina"/>
    <w:basedOn w:val="Normal"/>
    <w:pPr>
      <w:spacing w:before="100" w:beforeAutospacing="1" w:after="100" w:afterAutospacing="1"/>
    </w:pPr>
  </w:style>
  <w:style w:type="paragraph" w:customStyle="1" w:styleId="inputbox">
    <w:name w:val="inputbox"/>
    <w:basedOn w:val="Normal"/>
    <w:pPr>
      <w:spacing w:before="100" w:beforeAutospacing="1" w:after="100" w:afterAutospacing="1"/>
    </w:pPr>
    <w:rPr>
      <w:rFonts w:ascii="Verdana" w:hAnsi="Verdana"/>
      <w:sz w:val="14"/>
      <w:szCs w:val="14"/>
    </w:rPr>
  </w:style>
  <w:style w:type="paragraph" w:customStyle="1" w:styleId="tdcronograma">
    <w:name w:val="tdcronograma"/>
    <w:basedOn w:val="Normal"/>
    <w:pPr>
      <w:shd w:val="clear" w:color="auto" w:fill="000099"/>
      <w:spacing w:before="100" w:beforeAutospacing="1" w:after="100" w:afterAutospacing="1"/>
    </w:pPr>
    <w:rPr>
      <w:rFonts w:ascii="Verdana" w:hAnsi="Verdana"/>
      <w:sz w:val="17"/>
      <w:szCs w:val="17"/>
    </w:rPr>
  </w:style>
  <w:style w:type="paragraph" w:customStyle="1" w:styleId="tdcontenido1">
    <w:name w:val="tdcontenido1"/>
    <w:basedOn w:val="Normal"/>
    <w:pPr>
      <w:shd w:val="clear" w:color="auto" w:fill="D4D4D4"/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tablaborde">
    <w:name w:val="tablaborde"/>
    <w:basedOn w:val="Normal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897</Words>
  <Characters>5372</Characters>
  <Application>Microsoft Office Word</Application>
  <DocSecurity>4</DocSecurity>
  <Lines>44</Lines>
  <Paragraphs>12</Paragraphs>
  <ScaleCrop>false</ScaleCrop>
  <Company>Gerens</Company>
  <LinksUpToDate>false</LinksUpToDate>
  <CharactersWithSpaces>6257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Plataforma de Monitoreo y Evaluación de Proyectos</dc:title>
  <dc:creator>Antonio Tejeda Altamirano</dc:creator>
  <cp:lastModifiedBy>Antonio Tejeda Altamirano</cp:lastModifiedBy>
  <cp:revision>2</cp:revision>
  <dcterms:created xsi:type="dcterms:W3CDTF">2012-09-03T21:06:00Z</dcterms:created>
  <dcterms:modified xsi:type="dcterms:W3CDTF">2012-09-03T21:06:00Z</dcterms:modified>
</cp:coreProperties>
</file>